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19:43 МСК · База обновлена: 27.08.2026, 19:38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ходе проведения плановой выездной проверки в отношении юридического лица, осуществляющего реализацию пищевой продукции, по результатам экспертизы исследованной молочной продукции выявлено несоответствие обязательным требованиям по показателям безопасности, установленным техническими регламентами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качества к молоку и молочной продукции, выпускаемых в обращение на таможенной территории Таможенного союза, а также к </w:t>
      </w:r>
      <w:r>
        <w:rPr>
          <w:b w:val="0"/>
          <w:i w:val="0"/>
        </w:rPr>
        <w:t>____________________________________________________________________________________________</w:t>
      </w:r>
      <w:r>
        <w:rPr>
          <w:b w:val="0"/>
          <w:i w:val="0"/>
        </w:rPr>
        <w:t xml:space="preserve"> молока и молочной продукции для обеспечения их свободного перемещения (преамбула 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показателям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технологическим процессам, процессам сохранения свойств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срокам хранения, упаковочным материалам, средствам утилизации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процессам их производства, хранения, перевозки, реализации и утилизации, требования к маркировке и упаковке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процессам их производства, хранения, перевозки, реализации и утилизации, требования к маркировке и упаковке</w:t>
      </w:r>
    </w:p>
    <w:p>
      <w:pPr>
        <w:spacing w:after="58"/>
      </w:pPr>
      <w:r>
        <w:rPr>
          <w:b w:val="0"/>
          <w:i w:val="0"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</w:t>
      </w:r>
    </w:p>
    <w:p>
      <w:pPr>
        <w:spacing w:after="58"/>
      </w:pPr>
      <w:r>
        <w:rPr>
          <w:b w:val="0"/>
          <w:i w:val="0"/>
        </w:rPr>
        <w:t>(преамбула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(статья 7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Технического регламента Таможенного союза «О безопасности молока и молочной продукции» (ТР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условии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органа государственного санитарного 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разрешения органа государственного ветеринарного надзора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без проведения дополнительных процедур оценки (подтверждения) соответствия</w:t>
      </w:r>
    </w:p>
    <w:p>
      <w:pPr>
        <w:spacing w:after="58"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настоящего технического регламента, а также требованиям других технических регламентов Таможенного союза, действие которых на них распространяется, на территории государства-члена без предъявления дополнительных по отношению к содержащимся в настоящем техническом регламенте требований и без проведения дополнительных процедур оценки (подтверждения) соответствия</w:t>
      </w:r>
    </w:p>
    <w:p>
      <w:pPr>
        <w:spacing w:after="58"/>
      </w:pPr>
      <w:r>
        <w:rPr>
          <w:b w:val="0"/>
          <w:i w:val="0"/>
        </w:rPr>
        <w:t>(статья 9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союза, должна быть безопасна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установленных Федеральным законом от 30.03.1999 N 52-ФЗ «О санитарно-эпидемиологическом благополучии населения»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установленных Федеральным законом от 02.01.2000 N 29-ФЗ «О качестве и безопасности пищевых продуктов»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установленного 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установленного срока годности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установленного срока годности</w:t>
      </w:r>
    </w:p>
    <w:p>
      <w:pPr>
        <w:spacing w:after="58"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быть безопасна</w:t>
      </w:r>
    </w:p>
    <w:p>
      <w:pPr>
        <w:spacing w:after="58"/>
      </w:pPr>
      <w:r>
        <w:rPr>
          <w:b w:val="0"/>
          <w:i w:val="0"/>
        </w:rPr>
        <w:t>(статья 30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Прежде всего, при производстве молока и молочной продукции,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должны(ен/а)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производственный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декларация о соответствии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маркировка и упаковка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технологические процессы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технологические процессы</w:t>
      </w:r>
    </w:p>
    <w:p>
      <w:pPr>
        <w:spacing w:after="58"/>
      </w:pPr>
      <w:r>
        <w:rPr>
          <w:b w:val="0"/>
          <w:i w:val="0"/>
        </w:rPr>
        <w:t>Технологические процессы, применяемые при производстве молока и молочной продукции, должны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(статья 43 ТР ТС 033/2013)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продукцией; на всех стадиях процесса производства молока и молочной продукции необходимо обеспечивать 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маркировку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качество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прослеживаемость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прослеживаемость</w:t>
      </w:r>
    </w:p>
    <w:p>
      <w:pPr>
        <w:spacing w:after="58"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продукцией. На всех стадиях процесса производства молока и молочной продукции должна обеспечиваться их прослеживаемость</w:t>
      </w:r>
    </w:p>
    <w:p>
      <w:pPr>
        <w:spacing w:after="58"/>
      </w:pPr>
      <w:r>
        <w:rPr>
          <w:b w:val="0"/>
          <w:i w:val="0"/>
        </w:rPr>
        <w:t>(статья 44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(статья 46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срока их годности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срока их годности</w:t>
      </w:r>
    </w:p>
    <w:p>
      <w:pPr>
        <w:spacing w:after="58"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 срока их годности</w:t>
      </w:r>
    </w:p>
    <w:p>
      <w:pPr>
        <w:spacing w:after="58"/>
      </w:pPr>
      <w:r>
        <w:rPr>
          <w:b w:val="0"/>
          <w:i w:val="0"/>
        </w:rPr>
        <w:t>(статья 60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</w:t>
      </w:r>
      <w:r>
        <w:rPr>
          <w:b w:val="0"/>
          <w:i w:val="0"/>
        </w:rPr>
        <w:t>___________________________________</w:t>
      </w:r>
      <w:r>
        <w:rPr>
          <w:b w:val="0"/>
          <w:i w:val="0"/>
        </w:rPr>
        <w:t xml:space="preserve">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санитарно-эпидемиологической экспертизе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государственной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декларированию осуществления предпринимательской деятельности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государственной регистрации</w:t>
      </w:r>
    </w:p>
    <w:p>
      <w:pPr>
        <w:spacing w:after="58"/>
      </w:pPr>
      <w:r>
        <w:rPr>
          <w:b w:val="0"/>
          <w:i w:val="0"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государственной регистрации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(статья 45 ТР ТС 033/2013)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Кроме технического регламента Таможенного союза «О безопасности молока и молочной продукции» (ТР ТС 033/2013) молоко и молочная продукция» должны сопровождаться информацией для потребителей, соответствующей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санитарных норм и правил,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предъявляемым к качеству товаров, изложенным в Федеральном законе от 02.01.2000 N 29-ФЗ «О качестве и безопасности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«Пищевая продукция в части ее маркировки» (ТР ТС 022/2011)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технического регламента Таможенного союза «О безопасности упаковки» (ТР ТС 005/2011)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технического регламента Таможенного союза «Пищевая продукция в части ее маркировки» (ТР ТС 022/2011)</w:t>
      </w:r>
    </w:p>
    <w:p>
      <w:pPr>
        <w:spacing w:after="58"/>
      </w:pPr>
      <w:r>
        <w:rPr>
          <w:b w:val="0"/>
          <w:i w:val="0"/>
        </w:rPr>
        <w:t>Молоко и молочная продукция должны сопровождаться информацией для потребителей, соответствующей требованиям технического регламента Таможенного союза «Пищевая продукция в части ее маркировки» (ТР ТС 022/2011) и дополнительным требованиям технического регламента Таможенного союза «О безопасности молока и молочной продукции» (ТР ТС 033/2013).</w:t>
      </w:r>
    </w:p>
    <w:p>
      <w:pPr>
        <w:spacing w:after="58"/>
      </w:pPr>
      <w:r>
        <w:rPr>
          <w:b w:val="0"/>
          <w:i w:val="0"/>
        </w:rPr>
        <w:t>(статья 66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Областью применения технического регламента Таможенного союза «О безопасности молока и молочной продукции» (ТР ТС 033/2013) кроме защиты жизни и здоровья человека, жизни и здоровья животных, окружающей среды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действий, вводящих в заблуждение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исключение появления на рынке фальсифицированной и контрафактной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предупреждение действий, нарушающих права юридических лиц и индивидуальных предпринимателей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защита от недобросовестной конкуренции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предупреждение действий, вводящих в заблуждение потребителей</w:t>
      </w:r>
    </w:p>
    <w:p>
      <w:pPr>
        <w:spacing w:after="58"/>
      </w:pPr>
      <w:r>
        <w:rPr>
          <w:b w:val="0"/>
          <w:i w:val="0"/>
        </w:rPr>
        <w:t>Технический регламент разработан в целях защиты жизни и здоровья человека, окружающей среды, жизни и здоровья животных, предупреждения действий, вводящих в заблуждение потребителей молока и молочной продукции относительно их назначения и безопасности, и распространяется на молоко и молочную продукцию, выпускаемые в обращение на таможенной территории Таможенного союза, процессы их производства, хранения, перевозки, реализации и утилизации (I.Область применения технического регламента Таможенного союза «О безопасности молока и молочной продукции»</w:t>
      </w:r>
    </w:p>
    <w:p>
      <w:pPr>
        <w:spacing w:after="58"/>
      </w:pPr>
      <w:r>
        <w:rPr>
          <w:b w:val="0"/>
          <w:i w:val="0"/>
        </w:rPr>
        <w:t>(ТР ТС 033/2013)).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производстве молокосодержащих продуктов не допускается использование побочных продуктов переработки молока, полученных при производстве молокосодержащих продуктов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концентратом сывороточных белков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заменителем молочного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масляной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кефиром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заменителем молочного жира</w:t>
      </w:r>
    </w:p>
    <w:p>
      <w:pPr>
        <w:spacing w:after="58"/>
      </w:pPr>
      <w:r>
        <w:rPr>
          <w:b w:val="0"/>
          <w:i w:val="0"/>
        </w:rPr>
        <w:t>«Молокосодержащий продукт" - продукт переработки молока, произведенный на основе молока, и (или) его составных частей, и (или) молочных продуктов, и (или) побочных продуктов переработки молока и немолочных компонентов (за исключением жиров немолочного происхождения, вводимых в состав как самостоятельный ингредиент и (или) немолочных белков, используемых для замены молочного белка), которые добавляются не в целях замены составных частей молока, с массовой долей сухих веществ молока в сухих веществах готового продукта не менее 20 процентов. Не допускается использование побочных продуктов переработки молока, полученных при производстве молокосодержащих продуктов с заменителем молочного жира.</w:t>
      </w:r>
    </w:p>
    <w:p>
      <w:pPr>
        <w:spacing w:after="58"/>
      </w:pPr>
      <w:r>
        <w:rPr>
          <w:b w:val="0"/>
          <w:i w:val="0"/>
        </w:rPr>
        <w:t>(п.5. «Основные понятия» технического регламента Таможенного союза «О безопасности молока и молочной продукции» (ТР ТС 033/2013)).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заместитель руководителя управления Роспотребнадзора по «Т-ской области».</w:t>
      </w:r>
    </w:p>
    <w:p>
      <w:pPr>
        <w:spacing w:after="58"/>
      </w:pPr>
      <w:r>
        <w:rPr>
          <w:b w:val="0"/>
          <w:i w:val="0"/>
        </w:rPr>
        <w:t>К Вам поступил проект санитарно-эпидемиологического заключения о 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 (СЗЗ)» с приложением экспертного заключения и проекта обоснования. Предприятие осуществляет деятельность, для которой санитарным законодательством Российской Федерации установлена санитарно-защитная зона (СЗЗ) 300 м (СанПиН 2.2.1/2.1.1.1200-03 «Санитарно-защитные зоны и санитарная классификация предприятий, сооружений и иных объектов»). В ответ на обращение общества с заявлением о выдаче санитарно-эпидемиологического заключения о соответствии/несоответствии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зоны» с приложением экспертного заключения и проекта обоснования размера санитарно-защитной зоны, Управлением Роспотребнадзора принято решение об отказе в сокращении санитарно-защитной зоны с 300 метров до 40-60 метров.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Законом, в соответствии с которым определяется необходимость обоснования размера санитарно-защитной зоны,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кодекс Российской Федерации» от 29.12.2004 N 190-ФЗ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от 10.01.2002 N 7-ФЗ «Об охране окружающей среды»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Земельный кодекс Российской Федерации» от 25.10.2001 N 136-ФЗ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Федеральный закон от 30.03.1999 N 52-ФЗ «О санитарно-эпидемиологическом благополучии населения»</w:t>
      </w:r>
    </w:p>
    <w:p>
      <w:pPr>
        <w:spacing w:after="58"/>
      </w:pPr>
      <w:r>
        <w:rPr>
          <w:b w:val="0"/>
          <w:i w:val="0"/>
        </w:rPr>
        <w:t>Федеральный Закон от 30.03.1999г. № 52-ФЗ «О санитарно-эпидемиологическом благополучии населения», ст. 12</w:t>
      </w:r>
    </w:p>
    <w:p>
      <w:pPr>
        <w:spacing w:after="58"/>
      </w:pPr>
      <w:r>
        <w:rPr>
          <w:b w:val="0"/>
          <w:i w:val="0"/>
        </w:rPr>
        <w:t>П.2.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инженерной инфраструктуры и благоустройства и иных объектов (далее - объекты) должны соблюдаться санитарные правила.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Российской Федерации от 30 марта 1999 г. № 52-ФЗ "О санитарно-эпидемиологическом благополучии населения" (26.12.2024)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Разработка проекта СЗЗ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этапе проведения плановой проверки территориальным органом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разработки кадастровой съемки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всех этапах разработки градостроительной документации, проектов строительства, реконструкции и эксплуатации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выбора земельного участка под строительство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 всех этапах разработки градостроительной документации, проектов строительства, реконструкции и эксплуатации</w:t>
      </w:r>
    </w:p>
    <w:p>
      <w:pPr>
        <w:spacing w:after="58"/>
      </w:pPr>
      <w:r>
        <w:rPr>
          <w:b w:val="0"/>
          <w:i w:val="0"/>
        </w:rPr>
        <w:t>В соответствии с пунктом 3.1 СанПиН 2.2.1/2.1.1.1200-03 "Санитарно-защитные зоны и санитарная классификация предприятий, сооружений и иных объектов" 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производства и/или группы промышленных объектов и производств.</w:t>
      </w:r>
    </w:p>
    <w:p>
      <w:pPr>
        <w:spacing w:after="58"/>
      </w:pPr>
      <w:r>
        <w:rPr>
          <w:b w:val="0"/>
          <w:i w:val="0"/>
        </w:rPr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получения санитарно-эпидемиологического заключения заявитель предоставляет в Роспотребнадзор (его территориальный орган) заявление о выдаче санитарно-эпидемиологического заключения,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план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исследований и измерений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результаты плановых проверок объекта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spacing w:after="58"/>
      </w:pPr>
      <w:r>
        <w:rPr>
          <w:b w:val="0"/>
          <w:i w:val="0"/>
        </w:rPr>
        <w:t>В силу пункта 16 Для предоставления государственной услуги заявитель представляет в территориальный орган Роспотребнадзора следующие документы:</w:t>
      </w:r>
    </w:p>
    <w:p>
      <w:pPr>
        <w:spacing w:after="58"/>
      </w:pP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проведенных и оформленных в соответствии с порядком, утвержденным приказом Роспотребнадзора от 19.07.2007 N 224 "О санитарно-эпидемиологических экспертизах, обследованиях, исследованиях, испытаниях и токсикологических, гигиенических и иных видах оценок"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предоставления государственной услуги необходимы следующие документы, которые заявитель вправе представить по собственной инициативе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за последние 3 года административных взысканий на юридическое лицо и ответственных должностных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уведомление о начале предпринимательской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spacing w:after="58"/>
      </w:pPr>
      <w:r>
        <w:rPr>
          <w:b w:val="0"/>
          <w:i w:val="0"/>
        </w:rPr>
        <w:t>п.20. Для предоставления государственной услуги необходимы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 по собственной инициативе:</w:t>
      </w:r>
    </w:p>
    <w:p>
      <w:pPr>
        <w:spacing w:after="58"/>
      </w:pPr>
      <w:r>
        <w:rPr>
          <w:b w:val="0"/>
          <w:i w:val="0"/>
        </w:rPr>
        <w:t>* сведения из Единого государственного реестра юридических лиц или Единого государственного реестра индивидуальных предпринимателей;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рассматриваете проект объекта, который относится к III классу опасности. Проект должен содержать расчеты ожидаемого загрязнения атмосферного воздуха (с учетом фона), результаты натурных исследований и измерений,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расчеты уровней загрязнения почвы и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расчеты уровней загрязнения поверхностных вод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расчеты уровней физического воздействия на атмосферный воздух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уровни биологического воздействия на атмосферный воздух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расчеты уровней физического воздействия на атмосферный воздух</w:t>
      </w:r>
    </w:p>
    <w:p>
      <w:pPr>
        <w:spacing w:after="58"/>
      </w:pPr>
      <w:r>
        <w:rPr>
          <w:b w:val="0"/>
          <w:i w:val="0"/>
        </w:rPr>
        <w:t>В соответствии с пунктом 2.1 СанПиН 2.2.1/2.1.1.1200-03 "Санитарно-защитные зоны и санитарная классификация предприятий, сооружений и иных объектов" Ориентировочный размер санитарно-защитной зоны должен быть обоснован проектом санитарно-защитной зоны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проекте СЗЗ должны быть определены в том числе размер и границы СЗЗ,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мероприятия по защите населения от неблагоприятных метеоусловий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мероприятия по защите населения от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контрольные точки проведения исследований и измерений на границе с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мероприятия по защите населения от воздействия выбросов загрязняющих веществ и физического воздействия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мероприятия по защите населения от воздействия выбросов загрязняющих веществ и физического воздействия</w:t>
      </w:r>
    </w:p>
    <w:p>
      <w:pPr>
        <w:spacing w:after="58"/>
      </w:pPr>
      <w:r>
        <w:rPr>
          <w:b w:val="0"/>
          <w:i w:val="0"/>
        </w:rPr>
        <w:t>В силу пункта 3.10 СанПиН 2.2.1/2.1.1.1200-03 в проекте СЗЗ должны быть определены, в том числе размер и границы СЗЗ, мероприятия по защите населения от воздействия выбросов загрязняющих веществ и физического воздействия.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Установление размеров санитарно-защитных зон для промышленных объектов и производств III класса опасности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постановлением Правительства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постановлением Главного государственного санитарного врача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решением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spacing w:after="58"/>
      </w:pPr>
      <w:r>
        <w:rPr>
          <w:b w:val="0"/>
          <w:i w:val="0"/>
        </w:rPr>
        <w:t>П. 4.3. СанПиН 2.2.1/2.1.1.1200-03 «Санитарно-защитные зоны и санитарная классификация предприятий, сооружений и иных объектов» для промышленных объектов и производств III, IV и V классов опасности размеры санитарно-защитных зон могут быть установлены, изменены на основании решения и санитарно-эпидемиологического заключения Главного государственного санитарного врача субъекта Российской Федерации или его заместителя на основании (в ред. Изменения N 1, утв. Постановлением Главного государственного санитарного врача РФ от 10.04.2008 N 25)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Размер санитарно-защитной зоны для действующих объектов III класса может быть уменьшен при объективном доказательстве достижения уровня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наблюдений, при уменьшении мощности, изменении состава, перепрофилировании промышленных объектов и производств и связанном с этим изменении класса опасности; а также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результатам ежедневного мониторинга на границе СЗЗ, инвентаризации выбросов в атмосферу и сокращения выбросов в атмосферу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внедрении мероприятий по предотвращению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выполнении предприятием плана мероприятий по сокращению загрязнения окружающей среды и выполнении работы по оценке риска здоровью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spacing w:after="58"/>
      </w:pPr>
      <w:r>
        <w:rPr>
          <w:b w:val="0"/>
          <w:i w:val="0"/>
        </w:rPr>
        <w:t>п.4.5. Размер санитарно-защитной зоны для действующих объектов может быть уменьшен при:</w:t>
      </w:r>
    </w:p>
    <w:p>
      <w:pPr>
        <w:spacing w:after="58"/>
      </w:pPr>
      <w:r>
        <w:rPr>
          <w:b w:val="0"/>
          <w:i w:val="0"/>
        </w:rPr>
        <w:t xml:space="preserve">*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дней исследований на каждый ингредиент в отдельной точке) и измерений и оценке риска для здоровья; для промышленных объектов и производств III, IV, V классов опасности по данным натурных исследований приоритетных показателей за состоянием загрязнения атмосферного воздуха (не менее тридцати дней исследований на каждый ингредиент в отдельной точке) и измерений; </w:t>
        <w:br/>
        <w:t>(в ред. Изменения N 1, утв. Постановлением Главного государственного санитарного врача РФ от 10.04.2008 N 25)</w:t>
      </w:r>
    </w:p>
    <w:p>
      <w:pPr>
        <w:spacing w:after="58"/>
      </w:pPr>
      <w:r>
        <w:rPr>
          <w:b w:val="0"/>
          <w:i w:val="0"/>
        </w:rPr>
        <w:t>*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</w:r>
    </w:p>
    <w:p>
      <w:pPr>
        <w:spacing w:after="58"/>
      </w:pPr>
      <w:r>
        <w:rPr>
          <w:b w:val="0"/>
          <w:i w:val="0"/>
        </w:rPr>
        <w:t>* уменьшении мощности, изменении состава, перепрофилировании промышленных объектов и производств и связанном с этим изменении класса опасности;</w:t>
      </w:r>
    </w:p>
    <w:p>
      <w:pPr>
        <w:spacing w:after="58"/>
      </w:pPr>
      <w:r>
        <w:rPr>
          <w:b w:val="0"/>
          <w:i w:val="0"/>
        </w:rPr>
        <w:t>* внедрении передовых технологических решений, эффективных очистных сооружений, направленных на сокращение уровней воздействия на среду обитания.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представленных результатах санитарно-эпидемиологической экспертизы не учтено несколько источников загрязнения атмосферы, которые также отсутствовали в проекте СЗЗ, режим работы предприятия не соответствовал фактическому. Указанная информация имеется у Вас на основании результатов проведенной плановой проверки.</w:t>
        <w:br/>
        <w:br/>
        <w:t>Основаниями для отказа в выдаче санитарно-эпидемиологического заключения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или несоответствие представленной информации сведениям, содержащимся в государственном кадастре недвижимости и (или) Едином государственном реестре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непредставление бумажного бланка переоформляемого 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действующего аттестата аккредитации и (или) соответствующей области аккредитации у организации, эксперта, оформивших результаты санитарно-эпидемиологических экспертиз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spacing w:after="58"/>
      </w:pPr>
      <w:r>
        <w:rPr>
          <w:b w:val="0"/>
          <w:i w:val="0"/>
        </w:rPr>
        <w:t>п.66. В случае установления в ходе административной процедуры оснований для отказа в выдаче санитарно-эпидемиологического заключения, уполномоченный специалист-эксперт подготавливает уведомление об отказе в выдаче санитарно-эпидемиологического заключения с указанием причин отказа.</w:t>
      </w:r>
    </w:p>
    <w:p>
      <w:pPr>
        <w:spacing w:after="58"/>
      </w:pPr>
      <w:r>
        <w:rPr>
          <w:b w:val="0"/>
          <w:i w:val="0"/>
        </w:rPr>
        <w:t>Основаниями для отказа в выдаче санитарно-эпидемиологического заключения является:</w:t>
      </w:r>
    </w:p>
    <w:p>
      <w:pPr>
        <w:spacing w:after="58"/>
      </w:pPr>
      <w:r>
        <w:rPr>
          <w:b w:val="0"/>
          <w:i w:val="0"/>
        </w:rPr>
        <w:t>*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требованиям государственных санитарно-эпидемиологических правил и нормативов, а также проведение не в полном объеме исследований и испытаний, их несоответствие методикам;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Результатами предоставления государственной услуги по выдаче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заключений являются: выдача санитарно-эпидемиологического заключения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кадастр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санитарно-эпидемиологической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письмо об осуществлении услуги и постановление Главного государственного санитарного врача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spacing w:after="58"/>
      </w:pPr>
      <w:r>
        <w:rPr>
          <w:b w:val="0"/>
          <w:i w:val="0"/>
        </w:rPr>
        <w:t>п.77. После принятия решения о выдаче, санитарно-эпидемиологическому заключению автоматически присваивается номер, сведения о санитарно-эпидемиологическом заключении вносятся в Реестр.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несовпадения размеров СЗЗ, полученных на основании анализа расчетов, представленных в проекте СЗЗ, выполненных натурных исследований и измерений, результатов оценки риска здоровью населения (для объектов 1 и 2 классов опасности), решение по окончательному размеру данной СЗЗ должно приниматься по варианту, обеспечивающему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безопасность для населения выполненных натурных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технически достижимые уровни воздействия на окружающую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безопасность для населения расчетов, представленных в проекте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наибольшую безопасность для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наибольшую безопасность для населения</w:t>
      </w:r>
    </w:p>
    <w:p>
      <w:pPr>
        <w:spacing w:after="58"/>
      </w:pPr>
      <w:r>
        <w:rPr>
          <w:b w:val="0"/>
          <w:i w:val="0"/>
        </w:rPr>
        <w:t>п.3.6. В случае несовпадения размера расчетной санитарно-защитной зоны и полученной на основании оценки риска (для предприятий I - II класса опасности), натурных исследований и измерений химического, биологического и физического воздействия на атмосферный воздух решение по размеру санитарно-защитной зоны принимается по варианту, обеспечивающему наибольшую безопасность для здоровья населения.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Натурные исследования и измерения в целях подтверждения расчетных размеров СЗЗ и установления окончательной СЗЗ должны быть проведены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работе объекта в различных режимах и нагрузках в течение суток,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достижения объектом той проектной мощности, для которой была обоснована расчетная СЗЗ данного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работе объекта в постоянном технологическом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достижения объектом той проектной мощности, для которой была обоснована расчетная СЗЗ данного объекта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после достижения объектом той проектной мощности, для которой была обоснована расчетная СЗЗ данного объекта</w:t>
      </w:r>
    </w:p>
    <w:p>
      <w:pPr>
        <w:spacing w:after="58"/>
      </w:pPr>
      <w:r>
        <w:rPr>
          <w:b w:val="0"/>
          <w:i w:val="0"/>
        </w:rPr>
        <w:t>Письмо Роспотребнадзора от 18 июня 2015 г. № 01/6968-15-32 «О рассмотрении проектных материалов по обоснованию окончательных санитарно-защитных зон» п.12. Ориентирующую информацию для хозяйствующего субъекта о том, что установление окончательной СЗЗ осуществляется в порядке, предусмотренном главой IV СанПиН 2.2.1/2.1.1.1200-03, с указанием конкретного номера пункта, в соответствии с которым установление окончательной СЗЗ будет проведено для данного объекта. Отдельно обратить внимание хозяйствующего субъекта на то, что натурные исследования и измерения в целях подтверждения расчетных размеров СЗЗ и установления окончательной СЗЗ должны быть проведены после достижения объектом той проектной мощности, для которой была обоснована расчетная СЗЗ данного объекта.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https://docs.cntd.ru/document/420331394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docs.cntd.ru/document/499050562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fzN52_261224/" TargetMode="External"/><Relationship Id="rId25" Type="http://schemas.openxmlformats.org/officeDocument/2006/relationships/hyperlink" Target="https://library.mededtech.ru/rest/documents/fzN52_261224/#paragraph_l03dfm" TargetMode="External"/><Relationship Id="rId26" Type="http://schemas.openxmlformats.org/officeDocument/2006/relationships/hyperlink" Target="https://library.mededtech.ru/rest/documents/sanpin221/" TargetMode="External"/><Relationship Id="rId27" Type="http://schemas.openxmlformats.org/officeDocument/2006/relationships/hyperlink" Target="https://library.mededtech.ru/rest/documents/sanpin221/#paragraph_f1is4g" TargetMode="External"/><Relationship Id="rId28" Type="http://schemas.openxmlformats.org/officeDocument/2006/relationships/hyperlink" Target="https://library.mededtech.ru/rest/documents/prikaz747/" TargetMode="External"/><Relationship Id="rId29" Type="http://schemas.openxmlformats.org/officeDocument/2006/relationships/hyperlink" Target="https://library.mededtech.ru/rest/documents/prikaz747/#list_item_addl5t" TargetMode="External"/><Relationship Id="rId30" Type="http://schemas.openxmlformats.org/officeDocument/2006/relationships/hyperlink" Target="https://library.mededtech.ru/rest/documents/prikaz747/#list_item_7r7em8" TargetMode="External"/><Relationship Id="rId31" Type="http://schemas.openxmlformats.org/officeDocument/2006/relationships/hyperlink" Target="https://library.mededtech.ru/rest/documents/sanpin221/#paragraph_b86k74" TargetMode="External"/><Relationship Id="rId32" Type="http://schemas.openxmlformats.org/officeDocument/2006/relationships/hyperlink" Target="https://library.mededtech.ru/rest/documents/sanpin221/#list_item_57uoln" TargetMode="External"/><Relationship Id="rId33" Type="http://schemas.openxmlformats.org/officeDocument/2006/relationships/hyperlink" Target="https://library.mededtech.ru/rest/documents/sanpin221/#paragraph_bsgi7v" TargetMode="External"/><Relationship Id="rId34" Type="http://schemas.openxmlformats.org/officeDocument/2006/relationships/hyperlink" Target="https://library.mededtech.ru/rest/documents/sanpin221/#list_item_n11l9p" TargetMode="External"/><Relationship Id="rId35" Type="http://schemas.openxmlformats.org/officeDocument/2006/relationships/hyperlink" Target="https://library.mededtech.ru/rest/documents/prikaz747/#list_item_97j7ek" TargetMode="External"/><Relationship Id="rId36" Type="http://schemas.openxmlformats.org/officeDocument/2006/relationships/hyperlink" Target="https://library.mededtech.ru/rest/documents/prikaz747/#paragraph_t46485" TargetMode="External"/><Relationship Id="rId37" Type="http://schemas.openxmlformats.org/officeDocument/2006/relationships/hyperlink" Target="https://library.mededtech.ru/rest/documents/sanpin221/#paragraph_8lcj8n" TargetMode="External"/><Relationship Id="rId38" Type="http://schemas.openxmlformats.org/officeDocument/2006/relationships/hyperlink" Target="https://docs.cntd.ru/document/4203313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